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3" w:rsidRDefault="007E6D23" w:rsidP="007E6D23">
      <w:pPr>
        <w:pStyle w:val="a5"/>
        <w:widowControl w:val="0"/>
        <w:snapToGrid w:val="0"/>
        <w:spacing w:before="0" w:beforeAutospacing="0" w:after="0" w:afterAutospacing="0"/>
        <w:rPr>
          <w:rFonts w:ascii="Times New Roman" w:eastAsia="仿宋" w:hAnsi="仿宋" w:cs="Times New Roman" w:hint="eastAsia"/>
          <w:sz w:val="28"/>
          <w:szCs w:val="28"/>
        </w:rPr>
      </w:pPr>
      <w:r w:rsidRPr="00020B7F">
        <w:rPr>
          <w:rFonts w:ascii="黑体" w:eastAsia="黑体" w:cs="黑体" w:hint="eastAsia"/>
        </w:rPr>
        <w:t>附件</w:t>
      </w:r>
      <w:r w:rsidRPr="00020B7F">
        <w:rPr>
          <w:rFonts w:ascii="黑体" w:eastAsia="黑体" w:cs="黑体"/>
        </w:rPr>
        <w:t>3</w:t>
      </w:r>
      <w:r w:rsidRPr="00020B7F">
        <w:rPr>
          <w:rFonts w:ascii="黑体" w:eastAsia="黑体" w:cs="黑体" w:hint="eastAsia"/>
        </w:rPr>
        <w:t>：</w:t>
      </w:r>
      <w:r w:rsidR="007128B6" w:rsidRPr="00020B7F">
        <w:rPr>
          <w:rFonts w:ascii="Times New Roman" w:eastAsia="仿宋" w:hAnsi="仿宋" w:cs="Times New Roman" w:hint="eastAsia"/>
          <w:sz w:val="28"/>
          <w:szCs w:val="28"/>
        </w:rPr>
        <w:t>四川理工学院</w:t>
      </w:r>
      <w:r w:rsidR="007128B6" w:rsidRPr="00020B7F">
        <w:rPr>
          <w:rFonts w:ascii="Times New Roman" w:eastAsia="仿宋" w:hAnsi="仿宋" w:cs="Times New Roman" w:hint="eastAsia"/>
          <w:sz w:val="28"/>
          <w:szCs w:val="28"/>
        </w:rPr>
        <w:t>2019</w:t>
      </w:r>
      <w:r w:rsidR="007128B6" w:rsidRPr="00020B7F">
        <w:rPr>
          <w:rFonts w:ascii="Times New Roman" w:eastAsia="仿宋" w:hAnsi="仿宋" w:cs="Times New Roman" w:hint="eastAsia"/>
          <w:sz w:val="28"/>
          <w:szCs w:val="28"/>
        </w:rPr>
        <w:t>届毕业生（本专科、硕士）统计</w:t>
      </w:r>
      <w:r w:rsidR="007128B6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7128B6">
        <w:rPr>
          <w:rFonts w:ascii="Times New Roman" w:eastAsia="仿宋" w:hAnsi="仿宋" w:cs="Times New Roman" w:hint="eastAsia"/>
          <w:sz w:val="28"/>
          <w:szCs w:val="28"/>
        </w:rPr>
        <w:t>8824</w:t>
      </w:r>
      <w:r w:rsidR="007128B6">
        <w:rPr>
          <w:rFonts w:ascii="Times New Roman" w:eastAsia="仿宋" w:hAnsi="仿宋" w:cs="Times New Roman" w:hint="eastAsia"/>
          <w:sz w:val="28"/>
          <w:szCs w:val="28"/>
        </w:rPr>
        <w:t>人）</w:t>
      </w:r>
    </w:p>
    <w:p w:rsidR="007128B6" w:rsidRPr="007128B6" w:rsidRDefault="007128B6" w:rsidP="007E6D23">
      <w:pPr>
        <w:pStyle w:val="a5"/>
        <w:widowControl w:val="0"/>
        <w:snapToGrid w:val="0"/>
        <w:spacing w:before="0" w:beforeAutospacing="0" w:after="0" w:afterAutospacing="0"/>
        <w:rPr>
          <w:rFonts w:ascii="黑体" w:eastAsia="黑体" w:cs="黑体" w:hint="eastAsia"/>
        </w:rPr>
      </w:pPr>
    </w:p>
    <w:p w:rsidR="007E6D23" w:rsidRPr="00020B7F" w:rsidRDefault="007E6D23" w:rsidP="007E6D23">
      <w:pPr>
        <w:pStyle w:val="a5"/>
        <w:widowControl w:val="0"/>
        <w:snapToGrid w:val="0"/>
        <w:spacing w:before="0" w:beforeAutospacing="0" w:after="0" w:afterAutospacing="0"/>
        <w:jc w:val="center"/>
        <w:rPr>
          <w:rFonts w:ascii="黑体" w:eastAsia="黑体" w:cs="黑体"/>
        </w:rPr>
      </w:pPr>
      <w:r w:rsidRPr="00020B7F">
        <w:rPr>
          <w:rFonts w:ascii="黑体" w:eastAsia="黑体" w:cs="黑体" w:hint="eastAsia"/>
        </w:rPr>
        <w:t>四川理工学院</w:t>
      </w:r>
      <w:r w:rsidRPr="00020B7F">
        <w:rPr>
          <w:rFonts w:ascii="黑体" w:eastAsia="黑体" w:cs="黑体"/>
        </w:rPr>
        <w:t>2019</w:t>
      </w:r>
      <w:r w:rsidRPr="00020B7F">
        <w:rPr>
          <w:rFonts w:ascii="黑体" w:eastAsia="黑体" w:cs="黑体" w:hint="eastAsia"/>
        </w:rPr>
        <w:t>届本科毕业生统计（</w:t>
      </w:r>
      <w:r w:rsidRPr="00020B7F">
        <w:rPr>
          <w:rFonts w:ascii="黑体" w:eastAsia="黑体" w:cs="黑体"/>
        </w:rPr>
        <w:t>8552</w:t>
      </w:r>
      <w:r w:rsidRPr="00020B7F">
        <w:rPr>
          <w:rFonts w:ascii="黑体" w:eastAsia="黑体" w:cs="黑体" w:hint="eastAsia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9"/>
        <w:gridCol w:w="2941"/>
        <w:gridCol w:w="3410"/>
        <w:gridCol w:w="1055"/>
      </w:tblGrid>
      <w:tr w:rsidR="007E6D23" w:rsidRPr="00020B7F" w:rsidTr="00035D21">
        <w:trPr>
          <w:trHeight w:val="284"/>
          <w:jc w:val="center"/>
        </w:trPr>
        <w:tc>
          <w:tcPr>
            <w:tcW w:w="10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所在校区</w:t>
            </w:r>
          </w:p>
        </w:tc>
        <w:tc>
          <w:tcPr>
            <w:tcW w:w="29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人数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汇东校区</w:t>
            </w:r>
          </w:p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hint="eastAsia"/>
                <w:b/>
                <w:sz w:val="18"/>
                <w:szCs w:val="18"/>
              </w:rPr>
              <w:t>（自贡）</w:t>
            </w: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化学与环境工程学院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安全工程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66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74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环境工程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97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237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化学工程学院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化学工程与工艺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153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能源化学工程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66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生物制药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74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应用化学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154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制药工程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115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562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材料科学与工程学院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材料化学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54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材料科学与工程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138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材料科学与工程</w:t>
            </w:r>
            <w:r w:rsidRPr="00020B7F">
              <w:rPr>
                <w:sz w:val="18"/>
                <w:szCs w:val="18"/>
              </w:rPr>
              <w:t>(</w:t>
            </w:r>
            <w:r w:rsidRPr="00020B7F">
              <w:rPr>
                <w:rFonts w:hint="eastAsia"/>
                <w:sz w:val="18"/>
                <w:szCs w:val="18"/>
              </w:rPr>
              <w:t>技能</w:t>
            </w:r>
            <w:r w:rsidRPr="00020B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56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高分子材料与工程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89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无机非金属材料工程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37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374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土木工程学院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给排水科学与工程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88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工程造价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324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工业工程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土木工程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265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711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思想政治教育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16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16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广播电视学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84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129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历史学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18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231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教育与心理科学学院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45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应用心理学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79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124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体育教育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143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143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营盘校区</w:t>
            </w:r>
          </w:p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（自贡）</w:t>
            </w: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美术学院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服装设计与工程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41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服装与服饰设计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30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环境设计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132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美术学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61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134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398</w:t>
            </w:r>
          </w:p>
        </w:tc>
      </w:tr>
      <w:tr w:rsidR="007E6D23" w:rsidRPr="00020B7F" w:rsidTr="00035D21">
        <w:trPr>
          <w:trHeight w:val="284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音乐学院</w:t>
            </w: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音乐表演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81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音乐学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38</w:t>
            </w:r>
          </w:p>
        </w:tc>
      </w:tr>
      <w:tr w:rsidR="007E6D23" w:rsidRPr="00020B7F" w:rsidTr="00035D21">
        <w:trPr>
          <w:trHeight w:val="285"/>
          <w:jc w:val="center"/>
        </w:trPr>
        <w:tc>
          <w:tcPr>
            <w:tcW w:w="1099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0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20B7F">
              <w:rPr>
                <w:sz w:val="18"/>
                <w:szCs w:val="18"/>
              </w:rPr>
              <w:t>119</w:t>
            </w:r>
          </w:p>
        </w:tc>
      </w:tr>
    </w:tbl>
    <w:p w:rsidR="007E6D23" w:rsidRPr="00020B7F" w:rsidRDefault="007E6D23" w:rsidP="007E6D23">
      <w:pPr>
        <w:pStyle w:val="a5"/>
        <w:widowControl w:val="0"/>
        <w:snapToGrid w:val="0"/>
        <w:spacing w:before="0" w:beforeAutospacing="0" w:after="0" w:afterAutospacing="0"/>
        <w:rPr>
          <w:rFonts w:ascii="黑体" w:eastAsia="黑体" w:cs="黑体" w:hint="eastAsi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2928"/>
        <w:gridCol w:w="3407"/>
        <w:gridCol w:w="1087"/>
      </w:tblGrid>
      <w:tr w:rsidR="007E6D23" w:rsidRPr="00020B7F" w:rsidTr="00035D21">
        <w:trPr>
          <w:trHeight w:val="234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所在校区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人数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临港校区</w:t>
            </w:r>
            <w:r w:rsidRPr="00020B7F">
              <w:rPr>
                <w:rFonts w:ascii="宋体" w:hAnsi="宋体" w:cs="宋体"/>
                <w:b/>
                <w:sz w:val="18"/>
                <w:szCs w:val="18"/>
              </w:rPr>
              <w:t xml:space="preserve"> </w:t>
            </w:r>
          </w:p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sz w:val="18"/>
                <w:szCs w:val="18"/>
              </w:rPr>
              <w:t>（宜宾）</w:t>
            </w:r>
            <w:bookmarkStart w:id="0" w:name="_GoBack"/>
            <w:bookmarkEnd w:id="0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机械工程学院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材料成型及控制工程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107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测控技术与仪器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车辆工程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164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工业设计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77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过程装备与控制工程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105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机械设计制造及其自动化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427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978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自动化与信息工程学院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电气工程及其自动化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220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54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通信工程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172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自动化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206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652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生物工程学院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酿酒工程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72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轻化工程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77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生物工程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160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生物技术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96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食品科学与工程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92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食品质量与安全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91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588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计算机学院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电子商务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107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257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软件工程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230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网络工程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79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物联网工程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93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信息管理与信息系统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816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数学与统计学院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123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信息与计算科学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应用统计学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95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298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物理与电子工程学院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电子信息工程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191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电子信息科学与技术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75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应用物理学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336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管理学院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143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工商管理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150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409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人力资源管理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132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市场营销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165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999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经济学院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129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酒店管理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47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旅游管理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102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农村区域发展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326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法学院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法学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196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行政管理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77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劳动与社会保障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57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社会工作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351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外语学院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日语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48</w:t>
            </w:r>
          </w:p>
        </w:tc>
      </w:tr>
      <w:tr w:rsidR="007E6D23" w:rsidRPr="00020B7F" w:rsidTr="00035D21">
        <w:trPr>
          <w:trHeight w:val="234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245</w:t>
            </w:r>
          </w:p>
        </w:tc>
      </w:tr>
      <w:tr w:rsidR="007E6D23" w:rsidRPr="00020B7F" w:rsidTr="00035D21">
        <w:trPr>
          <w:trHeight w:val="235"/>
          <w:jc w:val="center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D23" w:rsidRPr="00020B7F" w:rsidRDefault="007E6D23" w:rsidP="00035D21"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20B7F">
              <w:rPr>
                <w:rFonts w:ascii="宋体" w:hAnsi="宋体" w:cs="宋体"/>
                <w:sz w:val="18"/>
                <w:szCs w:val="18"/>
              </w:rPr>
              <w:t>293</w:t>
            </w:r>
          </w:p>
        </w:tc>
      </w:tr>
    </w:tbl>
    <w:p w:rsidR="007E6D23" w:rsidRPr="00020B7F" w:rsidRDefault="007E6D23" w:rsidP="007E6D23">
      <w:pPr>
        <w:spacing w:line="220" w:lineRule="exact"/>
        <w:rPr>
          <w:rFonts w:ascii="宋体" w:hAnsi="宋体" w:cs="宋体" w:hint="eastAsia"/>
          <w:sz w:val="18"/>
          <w:szCs w:val="18"/>
        </w:rPr>
      </w:pPr>
    </w:p>
    <w:p w:rsidR="007E6D23" w:rsidRPr="00020B7F" w:rsidRDefault="007E6D23" w:rsidP="007E6D23">
      <w:pPr>
        <w:pStyle w:val="a5"/>
        <w:widowControl w:val="0"/>
        <w:snapToGrid w:val="0"/>
        <w:spacing w:before="0" w:beforeAutospacing="0" w:after="0" w:afterAutospacing="0"/>
        <w:jc w:val="center"/>
        <w:rPr>
          <w:rFonts w:ascii="黑体" w:eastAsia="黑体" w:cs="黑体"/>
          <w:sz w:val="18"/>
          <w:szCs w:val="18"/>
        </w:rPr>
      </w:pPr>
      <w:r w:rsidRPr="00020B7F">
        <w:rPr>
          <w:rFonts w:ascii="黑体" w:eastAsia="黑体" w:cs="黑体" w:hint="eastAsia"/>
        </w:rPr>
        <w:t>四川理工学院</w:t>
      </w:r>
      <w:r w:rsidRPr="00020B7F">
        <w:rPr>
          <w:rFonts w:ascii="黑体" w:eastAsia="黑体" w:cs="黑体"/>
        </w:rPr>
        <w:t>2019</w:t>
      </w:r>
      <w:r w:rsidRPr="00020B7F">
        <w:rPr>
          <w:rFonts w:ascii="黑体" w:eastAsia="黑体" w:cs="黑体" w:hint="eastAsia"/>
        </w:rPr>
        <w:t>届专科毕业生统计（</w:t>
      </w:r>
      <w:r w:rsidRPr="00020B7F">
        <w:rPr>
          <w:rFonts w:ascii="黑体" w:eastAsia="黑体" w:cs="黑体"/>
        </w:rPr>
        <w:t>112</w:t>
      </w:r>
      <w:r w:rsidRPr="00020B7F">
        <w:rPr>
          <w:rFonts w:ascii="黑体" w:eastAsia="黑体" w:cs="黑体" w:hint="eastAsia"/>
        </w:rPr>
        <w:t>人）</w:t>
      </w:r>
    </w:p>
    <w:tbl>
      <w:tblPr>
        <w:tblW w:w="0" w:type="auto"/>
        <w:jc w:val="center"/>
        <w:tblLayout w:type="fixed"/>
        <w:tblLook w:val="0000"/>
      </w:tblPr>
      <w:tblGrid>
        <w:gridCol w:w="1186"/>
        <w:gridCol w:w="2852"/>
        <w:gridCol w:w="3420"/>
        <w:gridCol w:w="1047"/>
      </w:tblGrid>
      <w:tr w:rsidR="007E6D23" w:rsidRPr="00020B7F" w:rsidTr="00035D21">
        <w:trPr>
          <w:trHeight w:val="2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所在校区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学院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汇东校区</w:t>
            </w:r>
          </w:p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（自贡）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应用化工技术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营盘校区</w:t>
            </w:r>
          </w:p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（自贡）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音乐教育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临港校区</w:t>
            </w:r>
          </w:p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（宜宾）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生物技术及应用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</w:tbl>
    <w:p w:rsidR="007E6D23" w:rsidRPr="00020B7F" w:rsidRDefault="007E6D23" w:rsidP="007E6D23">
      <w:pPr>
        <w:pStyle w:val="a5"/>
        <w:widowControl w:val="0"/>
        <w:snapToGrid w:val="0"/>
        <w:spacing w:before="0" w:beforeAutospacing="0" w:after="0" w:afterAutospacing="0"/>
        <w:jc w:val="center"/>
        <w:rPr>
          <w:rFonts w:ascii="黑体" w:eastAsia="黑体" w:cs="黑体"/>
          <w:sz w:val="18"/>
          <w:szCs w:val="18"/>
        </w:rPr>
      </w:pPr>
      <w:r w:rsidRPr="00020B7F">
        <w:rPr>
          <w:rFonts w:ascii="黑体" w:eastAsia="黑体" w:cs="黑体" w:hint="eastAsia"/>
        </w:rPr>
        <w:t>四川理工学院</w:t>
      </w:r>
      <w:r w:rsidRPr="00020B7F">
        <w:rPr>
          <w:rFonts w:ascii="黑体" w:eastAsia="黑体" w:cs="黑体"/>
        </w:rPr>
        <w:t>2019</w:t>
      </w:r>
      <w:r w:rsidRPr="00020B7F">
        <w:rPr>
          <w:rFonts w:ascii="黑体" w:eastAsia="黑体" w:cs="黑体" w:hint="eastAsia"/>
        </w:rPr>
        <w:t>届硕士毕业生统计（</w:t>
      </w:r>
      <w:r w:rsidRPr="00020B7F">
        <w:rPr>
          <w:rFonts w:ascii="黑体" w:eastAsia="黑体" w:cs="黑体"/>
        </w:rPr>
        <w:t>160</w:t>
      </w:r>
      <w:r w:rsidRPr="00020B7F">
        <w:rPr>
          <w:rFonts w:ascii="黑体" w:eastAsia="黑体" w:cs="黑体" w:hint="eastAsia"/>
        </w:rPr>
        <w:t>人）</w:t>
      </w:r>
    </w:p>
    <w:tbl>
      <w:tblPr>
        <w:tblW w:w="0" w:type="auto"/>
        <w:jc w:val="center"/>
        <w:tblLayout w:type="fixed"/>
        <w:tblLook w:val="0000"/>
      </w:tblPr>
      <w:tblGrid>
        <w:gridCol w:w="1158"/>
        <w:gridCol w:w="2880"/>
        <w:gridCol w:w="3420"/>
        <w:gridCol w:w="1047"/>
      </w:tblGrid>
      <w:tr w:rsidR="007E6D23" w:rsidRPr="00020B7F" w:rsidTr="00035D21">
        <w:trPr>
          <w:trHeight w:val="27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校区名称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院系名称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汇东校区（自贡）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绿色化学与技术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营盘校区（自贡）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临港校区（宜宾）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过程装备检测及自动化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自动化与信息工程学院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电力系统及智能控制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非线性系统优化与控制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轻工技术与工程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食品工程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 w:rsidR="007E6D23" w:rsidRPr="00020B7F" w:rsidTr="00035D21">
        <w:trPr>
          <w:trHeight w:val="27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23" w:rsidRPr="00020B7F" w:rsidRDefault="007E6D23" w:rsidP="00035D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20B7F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</w:tr>
    </w:tbl>
    <w:p w:rsidR="00D25A5D" w:rsidRDefault="00D25A5D"/>
    <w:sectPr w:rsidR="00D25A5D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3B" w:rsidRDefault="00B05B3B" w:rsidP="007E6D23">
      <w:r>
        <w:separator/>
      </w:r>
    </w:p>
  </w:endnote>
  <w:endnote w:type="continuationSeparator" w:id="0">
    <w:p w:rsidR="00B05B3B" w:rsidRDefault="00B05B3B" w:rsidP="007E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3B" w:rsidRDefault="00B05B3B" w:rsidP="007E6D23">
      <w:r>
        <w:separator/>
      </w:r>
    </w:p>
  </w:footnote>
  <w:footnote w:type="continuationSeparator" w:id="0">
    <w:p w:rsidR="00B05B3B" w:rsidRDefault="00B05B3B" w:rsidP="007E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F1" w:rsidRDefault="00B05B3B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D23"/>
    <w:rsid w:val="007128B6"/>
    <w:rsid w:val="007E6D23"/>
    <w:rsid w:val="00B05B3B"/>
    <w:rsid w:val="00D2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6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D23"/>
    <w:rPr>
      <w:sz w:val="18"/>
      <w:szCs w:val="18"/>
    </w:rPr>
  </w:style>
  <w:style w:type="paragraph" w:styleId="a5">
    <w:name w:val="Normal (Web)"/>
    <w:basedOn w:val="a"/>
    <w:rsid w:val="007E6D23"/>
    <w:pPr>
      <w:widowControl/>
      <w:wordWrap w:val="0"/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1706</Characters>
  <Application>Microsoft Office Word</Application>
  <DocSecurity>0</DocSecurity>
  <Lines>14</Lines>
  <Paragraphs>4</Paragraphs>
  <ScaleCrop>false</ScaleCrop>
  <Company>MS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唐勇明</dc:creator>
  <cp:keywords/>
  <dc:description/>
  <cp:lastModifiedBy>唐勇明</cp:lastModifiedBy>
  <cp:revision>7</cp:revision>
  <dcterms:created xsi:type="dcterms:W3CDTF">2018-09-01T09:21:00Z</dcterms:created>
  <dcterms:modified xsi:type="dcterms:W3CDTF">2018-09-01T09:22:00Z</dcterms:modified>
</cp:coreProperties>
</file>